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32"/>
          <w:szCs w:val="32"/>
          <w:rtl w:val="0"/>
        </w:rPr>
        <w:t xml:space="preserve">Индустрия 4.0. Горно-обогатительный комбинат.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32"/>
          <w:szCs w:val="32"/>
          <w:rtl w:val="0"/>
        </w:rPr>
        <w:t xml:space="preserve">Что первично - задачи или данные?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</w:rPr>
      </w:pPr>
      <w:bookmarkStart w:colFirst="0" w:colLast="0" w:name="_ts9074q8wl0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</w:rPr>
      </w:pPr>
      <w:bookmarkStart w:colFirst="0" w:colLast="0" w:name="_benjhhy8n3a6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983460</wp:posOffset>
            </wp:positionH>
            <wp:positionV relativeFrom="paragraph">
              <wp:posOffset>142875</wp:posOffset>
            </wp:positionV>
            <wp:extent cx="4148455" cy="2774950"/>
            <wp:effectExtent b="0" l="0" r="0" t="0"/>
            <wp:wrapTopAndBottom distB="0" dist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8455" cy="277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</w:rPr>
      </w:pPr>
      <w:bookmarkStart w:colFirst="0" w:colLast="0" w:name="_13os0o68c0nc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Раньше при  старте  автоматизаци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rtl w:val="0"/>
        </w:rPr>
        <w:t xml:space="preserve">ставились цели и сроки завершения работ по автоматизации. С некоторых пор у автоматизации нет ни начала ни конца.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Конечно, Индустрия 4.0 — это маркетинговая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акция в условиях, когда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программы стали покупать существенно меньше и усилилось недовольство ценой за лицензии и поддержку.</w:t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Правда и то, что правильный состав датчиков позволяет принимать обоснованные решения.</w:t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Принципиальный вопрос: что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первично</w:t>
      </w:r>
      <w:r w:rsidDel="00000000" w:rsidR="00000000" w:rsidRPr="00000000">
        <w:rPr>
          <w:rFonts w:ascii="Arial" w:cs="Arial" w:eastAsia="Arial" w:hAnsi="Arial"/>
          <w:rtl w:val="0"/>
        </w:rPr>
        <w:t xml:space="preserve"> - решаемые задачи или данные?</w:t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Далее рассматривается подход, позволяющий рационально воспользоваться потенциалом Индустри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rtl w:val="0"/>
        </w:rPr>
        <w:t xml:space="preserve"> 4.0 и избежать чрезмерных затрат.</w:t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Кроме того, цель предлагаемого подхода - не попасть в ловушку ERP: сделаем «единый источник правды», что решит большинство задач бизнеса.</w:t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Модель ГОКа за 50 человека/часов.</w:t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Ниже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приведена имитационная модель Ковдорского ГОКа, сделанная на основе его принципиальной структурной схемы. Модель была сделана за 40-50 человеко/часов (неделя). Она позволяет получить общую производственную картину, а также составить перечень актуальных задач и необходимые для них данные.</w:t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Сравните цену альтернативы: обследование, проект, новая система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для</w:t>
      </w:r>
      <w:r w:rsidDel="00000000" w:rsidR="00000000" w:rsidRPr="00000000">
        <w:rPr>
          <w:rFonts w:ascii="Arial" w:cs="Arial" w:eastAsia="Arial" w:hAnsi="Arial"/>
          <w:rtl w:val="0"/>
        </w:rPr>
        <w:t xml:space="preserve"> управлени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rtl w:val="0"/>
        </w:rPr>
        <w:t xml:space="preserve"> датчиками (политика вендоров) — еще одна к тем, что уже имеет компания. Плюс внедрение, связывание и согласование всех существующих бизнес-процессов.</w:t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Обогатительную фабрику горно-обогатительного комбината (ГОК) можно представить в виде системы последовательно и параллельно соединенных модулей (узлов), имеющих изменяющиеся характеристики пропускной способности и значений индикаторов в зависимости от режима работы.</w:t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Схема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обогатительно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й фабрики ГОК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-2376</wp:posOffset>
            </wp:positionH>
            <wp:positionV relativeFrom="paragraph">
              <wp:posOffset>161925</wp:posOffset>
            </wp:positionV>
            <wp:extent cx="6120130" cy="4555490"/>
            <wp:effectExtent b="0" l="0" r="0" t="0"/>
            <wp:wrapTopAndBottom distB="0" dist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55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Входные данные поступают на разных позициях и соответствуют историческим или прогнозируемым временным рядам.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Далее приведены результаты моделирования по разным обстоятельствам.</w:t>
      </w:r>
    </w:p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Результаты последовательно соответствуют этапам (красный номер на графиках):</w:t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 дробильно- перегрузочный узел;</w:t>
      </w:r>
    </w:p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магистральный конвейер;</w:t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3) среднее дробление;</w:t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4) грохоты;</w:t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5) разделение руды после просеивания на два потока: в мелкие дробилки и на конвейер на усреднительный склад;</w:t>
      </w:r>
    </w:p>
    <w:p w:rsidR="00000000" w:rsidDel="00000000" w:rsidP="00000000" w:rsidRDefault="00000000" w:rsidRPr="00000000" w14:paraId="0000002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6) мелкие дробилки;</w:t>
      </w:r>
    </w:p>
    <w:p w:rsidR="00000000" w:rsidDel="00000000" w:rsidP="00000000" w:rsidRDefault="00000000" w:rsidRPr="00000000" w14:paraId="0000002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7) конвейер на усреднительный склад;</w:t>
      </w:r>
    </w:p>
    <w:p w:rsidR="00000000" w:rsidDel="00000000" w:rsidP="00000000" w:rsidRDefault="00000000" w:rsidRPr="00000000" w14:paraId="00000025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8) разделение руды на два потока: на усреднительный склад и в конвейер в корпус обогащений;</w:t>
      </w:r>
    </w:p>
    <w:p w:rsidR="00000000" w:rsidDel="00000000" w:rsidP="00000000" w:rsidRDefault="00000000" w:rsidRPr="00000000" w14:paraId="00000026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9)  усреднительный склад;</w:t>
      </w:r>
    </w:p>
    <w:p w:rsidR="00000000" w:rsidDel="00000000" w:rsidP="00000000" w:rsidRDefault="00000000" w:rsidRPr="00000000" w14:paraId="0000002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10)  конвейер в корпус обогащений;</w:t>
      </w:r>
    </w:p>
    <w:p w:rsidR="00000000" w:rsidDel="00000000" w:rsidP="00000000" w:rsidRDefault="00000000" w:rsidRPr="00000000" w14:paraId="0000002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11)  корпус обогащения;</w:t>
      </w:r>
    </w:p>
    <w:p w:rsidR="00000000" w:rsidDel="00000000" w:rsidP="00000000" w:rsidRDefault="00000000" w:rsidRPr="00000000" w14:paraId="00000029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Цвет итогового выхода одного этапа соответствует цвету входа следующего этапа.</w:t>
      </w:r>
    </w:p>
    <w:p w:rsidR="00000000" w:rsidDel="00000000" w:rsidP="00000000" w:rsidRDefault="00000000" w:rsidRPr="00000000" w14:paraId="0000002B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Пунктирные линии показывают  время простоя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Синий цвет — исходное поступление руды. Красный цвет — итоговая выработка.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Рассмотрим некоторые режимы работы ГОК.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1. Поступление руды постоянно, но с периодическим уменьшением объема.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973935</wp:posOffset>
            </wp:positionH>
            <wp:positionV relativeFrom="paragraph">
              <wp:posOffset>60945</wp:posOffset>
            </wp:positionV>
            <wp:extent cx="4171315" cy="1805940"/>
            <wp:effectExtent b="0" l="0" r="0" t="0"/>
            <wp:wrapTopAndBottom distB="0" dist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-151" l="-66" r="-65" t="-151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1805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jc w:val="left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Выше — сводка, ниже расшифровка по участкам.</w:t>
      </w:r>
    </w:p>
    <w:p w:rsidR="00000000" w:rsidDel="00000000" w:rsidP="00000000" w:rsidRDefault="00000000" w:rsidRPr="00000000" w14:paraId="00000034">
      <w:pPr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912023</wp:posOffset>
            </wp:positionH>
            <wp:positionV relativeFrom="paragraph">
              <wp:posOffset>19050</wp:posOffset>
            </wp:positionV>
            <wp:extent cx="4291965" cy="3854450"/>
            <wp:effectExtent b="0" l="0" r="0" t="0"/>
            <wp:wrapTopAndBottom distB="0" dist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-40" l="-36" r="-36" t="-41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385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jc w:val="left"/>
        <w:rPr>
          <w:rFonts w:ascii="Arial" w:cs="Arial" w:eastAsia="Arial" w:hAnsi="Arial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single"/>
          <w:rtl w:val="0"/>
        </w:rPr>
        <w:t xml:space="preserve">2. Перерывы в работе дробильно-перегрузочного узла при постоянной подаче руды.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Arial" w:cs="Arial" w:eastAsia="Arial" w:hAnsi="Arial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rial" w:cs="Arial" w:eastAsia="Arial" w:hAnsi="Arial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664373</wp:posOffset>
            </wp:positionH>
            <wp:positionV relativeFrom="paragraph">
              <wp:posOffset>0</wp:posOffset>
            </wp:positionV>
            <wp:extent cx="4788535" cy="2068830"/>
            <wp:effectExtent b="0" l="0" r="0" t="0"/>
            <wp:wrapTopAndBottom distB="0" dist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-151" l="-66" r="-65" t="-151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068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Сверху — сводка, снизу детализация.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1188085</wp:posOffset>
            </wp:positionH>
            <wp:positionV relativeFrom="paragraph">
              <wp:posOffset>9525</wp:posOffset>
            </wp:positionV>
            <wp:extent cx="3559175" cy="3173095"/>
            <wp:effectExtent b="0" l="0" r="0" t="0"/>
            <wp:wrapTopAndBottom distB="0" dist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-40" l="-36" r="-36" t="-41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3173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Можно смоделировать и другие режимы. Таблицы, входящие в узлы на исходной схеме ГОК, обозначают интерфейс  асинхронного использования исторических или прогнозных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Пока что модель больше нацелена на прогнозирование и решение проблем ремонтов.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Ей не хватает экономики и экономических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Можно предложить следующую задачу.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Необходимо обеспечить некоторый объем руды определенного качества к определенному сроку, что обусловлено договором, формированием отгрузки или другими факторами.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Во-первых, надо обеспечить требуемое качество.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Во-вторых, надо учитывать размер поступающей руды.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Чем при этом можно управлять? Производительностью конвейера и путями движения руды.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Чем выше скорость — тем больше затрат энергии и изнашиваемость оборудования.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Управление путями движения требует больше организационных мероприятий и необходимых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Итак, получаем экономическую задачу при существующих производственно-коммерческих ограничениях.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Повышение производительности ведет к затрате дополнительных ресурсов: энергии и затрат на обслуживание и ремонт. На другой стороне доход и/или штрафы от задержек и неудовлетворительного качества.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Arial" w:cs="Arial" w:eastAsia="Arial" w:hAnsi="Arial"/>
          <w:color w:val="00000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При наличии явно поставленной задачи становится ясным, какие датчики и где необходимо установить.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u w:val="none"/>
          <w:rtl w:val="0"/>
        </w:rPr>
        <w:t xml:space="preserve">Такой подход даст возможность подразделению АСУТП компании произвести модернизацию в соответствии со стандартами Индустрии 4.0 своими силами.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5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