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BigData могут быть реально полезными.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На настоящий момент большинство компаний накопили огромные массивы данных о своей деятельности и имеют все необходимы</w:t>
      </w: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highlight w:val="white"/>
          <w:u w:val="none"/>
          <w:vertAlign w:val="baseline"/>
          <w:rtl w:val="0"/>
        </w:rPr>
        <w:t xml:space="preserve">е инструменты </w:t>
      </w: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для существенного улучшения собственного бизнеса. Понятие BigData  не фикция — количество данных в компаниях немыслимо и на хранение данных тратятся значительные деньги. Проблема в том, что не совсем понятно каким образом использовать BigData: с чего начать, какие данные интересны, а что является «мусором».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Произошедшие за последний период изменения можно эффективно использовать, но пока, в основном, они только порождают затраты. Удобство электронной почты позволило формализовать и фиксировать бизнес-коммуникации. Поэтому почта и автоматически собираемые логи являются первыми кандидатами для использования в цифровых методах управления бизнесом.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Скрываемая иерархия и почта. Пример.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Года три назад в arXiv.org была публикация о том, как полиция анализировала зашифрованную переписку преступной группировки с целью выяснения иерархии и ролей членов группировки. Арестовывая определенных членов группировки полиция выясняла как изменяется конфигурация взаимосвязей внутри группировки, когда те или иные персоналии лишаются средств коммуникации. Таким образом удалось выявить иерархию и распределение ролей.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Реальная и номинальная оргструктура компании. Пример.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Понятие оргструктура в данном случае рассматривается как конструкция, обеспечивающая разделение труда и кооперацию в компании.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На рисунке приведен граф почтовых сообщений в реальной компании за 9 месяцев. В этих данных не учитываются массовые внутренние рассылки (оповещения более, чем в 100 адресов) и внешние сообщения, оставленные без ответа (спам).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Красные точки соответствуют внешним адресам, а голубые — адреса из доменов компании.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Если учитывать регулярные коммуникации (удалить «разовые» письма) и устойчивые пути движения почты, то иерархия компании, выраженная через реальные коммуникации будет такой.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1396365</wp:posOffset>
            </wp:positionH>
            <wp:positionV relativeFrom="paragraph">
              <wp:posOffset>71755</wp:posOffset>
            </wp:positionV>
            <wp:extent cx="3327400" cy="2483485"/>
            <wp:effectExtent b="0" l="0" r="0" t="0"/>
            <wp:wrapTopAndBottom distB="0" dist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83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Красным точкам соответствуют более интенсивные узлы, желтым — средние по интенсивности, синим — наименее интенсивные.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1510982</wp:posOffset>
            </wp:positionH>
            <wp:positionV relativeFrom="paragraph">
              <wp:posOffset>132715</wp:posOffset>
            </wp:positionV>
            <wp:extent cx="3098165" cy="2051050"/>
            <wp:effectExtent b="0" l="0" r="0" t="0"/>
            <wp:wrapTopAndBottom distB="0" dist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5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Иерархическая подчиненность проявляется через путь коммуникации (красная линия).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1476692</wp:posOffset>
            </wp:positionH>
            <wp:positionV relativeFrom="paragraph">
              <wp:posOffset>100330</wp:posOffset>
            </wp:positionV>
            <wp:extent cx="3166745" cy="2096135"/>
            <wp:effectExtent b="0" l="0" r="0" t="0"/>
            <wp:wrapTopAndBottom distB="0" dist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096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Коммуникационный граф компании по признаку относительной автономности коммуникаций будет таким.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1880870</wp:posOffset>
            </wp:positionH>
            <wp:positionV relativeFrom="paragraph">
              <wp:posOffset>91440</wp:posOffset>
            </wp:positionV>
            <wp:extent cx="2358390" cy="2299970"/>
            <wp:effectExtent b="0" l="0" r="0" t="0"/>
            <wp:wrapTopAndBottom distB="0" dist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299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С практической точки зрения интересным является отражение действующих бизнес-процессов в коммуникациях сотрудников. Суточная картина (случайный рабочий день) коммуникаций выглядит таким образом.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1523365</wp:posOffset>
            </wp:positionH>
            <wp:positionV relativeFrom="paragraph">
              <wp:posOffset>46990</wp:posOffset>
            </wp:positionV>
            <wp:extent cx="3072765" cy="3105150"/>
            <wp:effectExtent b="0" l="0" r="0" t="0"/>
            <wp:wrapTopAndBottom distB="0" dist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310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Видна  сепаратность  некоторых коммуникаций.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Уменьшив время до 3-х часов получаем следующую картину.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1567497</wp:posOffset>
            </wp:positionH>
            <wp:positionV relativeFrom="paragraph">
              <wp:posOffset>316865</wp:posOffset>
            </wp:positionV>
            <wp:extent cx="2985135" cy="2982595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982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Для решения конкретных задач более удобен граф с указанием адресатов почты. Красные точки соответствуют внешней почте, синие — почте из доменов компании. Интересно, что в данном случае при решении определенного вопроса сотрудники компании коммуницируют между собой через участников, обладающих внешней почтой.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168910</wp:posOffset>
            </wp:positionH>
            <wp:positionV relativeFrom="paragraph">
              <wp:posOffset>635</wp:posOffset>
            </wp:positionV>
            <wp:extent cx="5782310" cy="263906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639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Приведенные примеры показывают, что любая компания обладает гораздо большими скрытыми знаниями, чем предполагает, а также, что статические регламенты мало соответствуют реальной динамике и практике.</w:t>
      </w:r>
    </w:p>
    <w:sectPr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