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ind w:left="0" w:right="0" w:firstLine="0"/>
        <w:jc w:val="center"/>
        <w:rPr>
          <w:rFonts w:ascii="Times New Roman" w:cs="Times New Roman" w:eastAsia="Times New Roman" w:hAnsi="Times New Roman"/>
          <w:b w:val="1"/>
          <w:sz w:val="36"/>
          <w:szCs w:val="36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36"/>
          <w:szCs w:val="36"/>
          <w:rtl w:val="0"/>
        </w:rPr>
        <w:t xml:space="preserve">Инструментальная модель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a"/>
          <w:sz w:val="36"/>
          <w:szCs w:val="36"/>
          <w:rtl w:val="0"/>
        </w:rPr>
        <w:t xml:space="preserve">дозирования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6"/>
          <w:szCs w:val="36"/>
          <w:rtl w:val="0"/>
        </w:rPr>
        <w:t xml:space="preserve"> </w:t>
      </w:r>
    </w:p>
    <w:p w:rsidR="00000000" w:rsidDel="00000000" w:rsidP="00000000" w:rsidRDefault="00000000" w:rsidRPr="00000000" w14:paraId="00000002">
      <w:pPr>
        <w:ind w:left="0" w:right="0" w:firstLine="0"/>
        <w:jc w:val="center"/>
        <w:rPr>
          <w:rFonts w:ascii="Times New Roman" w:cs="Times New Roman" w:eastAsia="Times New Roman" w:hAnsi="Times New Roman"/>
          <w:b w:val="1"/>
          <w:sz w:val="36"/>
          <w:szCs w:val="36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a"/>
          <w:sz w:val="36"/>
          <w:szCs w:val="36"/>
          <w:rtl w:val="0"/>
        </w:rPr>
        <w:t xml:space="preserve">для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6"/>
          <w:szCs w:val="36"/>
          <w:rtl w:val="0"/>
        </w:rPr>
        <w:t xml:space="preserve"> работ по созданию лекарственных препаратов.</w:t>
      </w:r>
    </w:p>
    <w:p w:rsidR="00000000" w:rsidDel="00000000" w:rsidP="00000000" w:rsidRDefault="00000000" w:rsidRPr="00000000" w14:paraId="00000003">
      <w:pPr>
        <w:ind w:left="0" w:right="0" w:firstLine="0"/>
        <w:jc w:val="left"/>
        <w:rPr>
          <w:rFonts w:ascii="Times New Roman" w:cs="Times New Roman" w:eastAsia="Times New Roman" w:hAnsi="Times New Roman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ind w:left="0" w:right="0" w:firstLine="0"/>
        <w:jc w:val="left"/>
        <w:rPr>
          <w:rFonts w:ascii="Times New Roman" w:cs="Times New Roman" w:eastAsia="Times New Roman" w:hAnsi="Times New Roman"/>
          <w:b w:val="1"/>
          <w:sz w:val="36"/>
          <w:szCs w:val="36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1373985</wp:posOffset>
            </wp:positionH>
            <wp:positionV relativeFrom="paragraph">
              <wp:posOffset>60982</wp:posOffset>
            </wp:positionV>
            <wp:extent cx="3368040" cy="2736850"/>
            <wp:effectExtent b="0" l="0" r="0" t="0"/>
            <wp:wrapSquare wrapText="bothSides" distB="0" distT="0" distL="0" distR="0"/>
            <wp:docPr id="23" name="image24.png"/>
            <a:graphic>
              <a:graphicData uri="http://schemas.openxmlformats.org/drawingml/2006/picture">
                <pic:pic>
                  <pic:nvPicPr>
                    <pic:cNvPr id="0" name="image24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68040" cy="27368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5">
      <w:pPr>
        <w:ind w:left="0" w:right="0" w:firstLine="0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ind w:left="0" w:right="0" w:firstLine="0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ind w:left="0" w:right="0" w:firstLine="0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ind w:left="0" w:right="0" w:firstLine="0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ind w:left="0" w:right="0" w:firstLine="0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ind w:left="0" w:right="0" w:firstLine="0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ind w:left="0" w:right="0" w:firstLine="0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ind w:left="0" w:right="0" w:firstLine="0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ind w:left="0" w:right="0" w:firstLine="0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ind w:left="0" w:right="0" w:firstLine="0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ind w:left="0" w:right="0" w:firstLine="0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ind w:left="0" w:right="0" w:firstLine="0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ind w:left="0" w:right="0" w:firstLine="0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ind w:left="0" w:right="0" w:firstLine="0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ind w:left="0" w:right="0" w:firstLine="0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ind w:left="0" w:right="0" w:firstLine="0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ind w:left="0" w:right="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Моделирование представляет собой третье направление, после экспериментирования и анализа, в эффективной работе по созданию лекарственных препаратов. Оно существенно расширяет комбинаторные возможности исследователя при инновационных разработках. При продолжительных экспериментах моделирование позволяет ускорить момент получения результатов и сузить круг исследуемых вариантов.</w:t>
      </w:r>
    </w:p>
    <w:p w:rsidR="00000000" w:rsidDel="00000000" w:rsidP="00000000" w:rsidRDefault="00000000" w:rsidRPr="00000000" w14:paraId="00000016">
      <w:pPr>
        <w:ind w:left="0" w:right="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ind w:left="0" w:right="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a"/>
          <w:sz w:val="24"/>
          <w:szCs w:val="24"/>
          <w:rtl w:val="0"/>
        </w:rPr>
        <w:t xml:space="preserve">Инструментальная модель дозирования позволяет без дополнительной подготовки использовать данное средство при практической работе по созданию лекарственных препаратов.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ind w:left="0" w:right="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ind w:left="0" w:right="0" w:firstLine="0"/>
        <w:rPr/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Ограниченное применение моделирования связано с </w:t>
      </w:r>
      <w:r w:rsidDel="00000000" w:rsidR="00000000" w:rsidRPr="00000000">
        <w:rPr>
          <w:rFonts w:ascii="Times New Roman" w:cs="Times New Roman" w:eastAsia="Times New Roman" w:hAnsi="Times New Roman"/>
          <w:color w:val="00000a"/>
          <w:sz w:val="24"/>
          <w:szCs w:val="24"/>
          <w:rtl w:val="0"/>
        </w:rPr>
        <w:t xml:space="preserve">недостаточной технологичностью при практическом использовании. Далее рассматривается модель дозирования, основанная на работе Robert Palmer (</w:t>
      </w:r>
      <w:hyperlink r:id="rId7">
        <w:r w:rsidDel="00000000" w:rsidR="00000000" w:rsidRPr="00000000">
          <w:rPr>
            <w:rFonts w:ascii="Times New Roman" w:cs="Times New Roman" w:eastAsia="Times New Roman" w:hAnsi="Times New Roman"/>
            <w:color w:val="00000a"/>
            <w:sz w:val="24"/>
            <w:szCs w:val="24"/>
            <w:u w:val="single"/>
            <w:rtl w:val="0"/>
          </w:rPr>
          <w:t xml:space="preserve">https://blog.wolfram.com/author/robert-palmer/</w:t>
        </w:r>
      </w:hyperlink>
      <w:r w:rsidDel="00000000" w:rsidR="00000000" w:rsidRPr="00000000">
        <w:rPr>
          <w:rFonts w:ascii="Times New Roman" w:cs="Times New Roman" w:eastAsia="Times New Roman" w:hAnsi="Times New Roman"/>
          <w:color w:val="00000a"/>
          <w:sz w:val="24"/>
          <w:szCs w:val="24"/>
          <w:rtl w:val="0"/>
        </w:rPr>
        <w:t xml:space="preserve">). Базовая модель дополнена новыми функциональными возможностями и интерфейсом, а также формализована как инструментальное средство.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ind w:left="0" w:right="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ind w:left="0" w:right="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Модель распределения препарата PK/PD разрабатывается для изучения его биологического эффекта, оцениваемому по степени изменения наиболее чувствительного маркера,  который участвует в механизме реализации действия препарата.</w:t>
      </w:r>
    </w:p>
    <w:p w:rsidR="00000000" w:rsidDel="00000000" w:rsidP="00000000" w:rsidRDefault="00000000" w:rsidRPr="00000000" w14:paraId="0000001C">
      <w:pPr>
        <w:ind w:left="0" w:right="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ind w:left="0" w:right="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Формирование модели основывается на описании характерных для вещества фармакокинетике (адсорбции, распределении и элиминации) и фармакодинамике (взаимосвязи между его концентрацией и влиянием на маркер).</w:t>
      </w:r>
    </w:p>
    <w:p w:rsidR="00000000" w:rsidDel="00000000" w:rsidP="00000000" w:rsidRDefault="00000000" w:rsidRPr="00000000" w14:paraId="0000001E">
      <w:pPr>
        <w:ind w:left="0" w:right="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ind w:left="0" w:right="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С помощью модели  PK/PD можно определить дозу, которая приведёт к минимальному биологическому эффекту (МБЭ) препарата, а, следовательно, возможные начальные дозы препарата.</w:t>
      </w:r>
    </w:p>
    <w:p w:rsidR="00000000" w:rsidDel="00000000" w:rsidP="00000000" w:rsidRDefault="00000000" w:rsidRPr="00000000" w14:paraId="00000020">
      <w:pPr>
        <w:ind w:left="0" w:right="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ind w:left="0" w:right="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Представленная модель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drugTEST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основывается на следующем механизме действия: вещество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subAN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 связывается с молекулами-мишени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target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, образуя комплекс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stCOM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. Биомаркером служит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ТО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(target occupancy): относительное количество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target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, связанных с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subAN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022">
      <w:pPr>
        <w:ind w:left="0" w:right="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ind w:left="0" w:right="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Настоящая модель построена с использованием компонентов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 BioChem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библиотеки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SystemModeler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.  </w:t>
      </w:r>
    </w:p>
    <w:p w:rsidR="00000000" w:rsidDel="00000000" w:rsidP="00000000" w:rsidRDefault="00000000" w:rsidRPr="00000000" w14:paraId="00000024">
      <w:pPr>
        <w:ind w:left="0" w:right="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ind w:left="0" w:right="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Модель включает два компартмента (с постоянным объёмом):</w:t>
      </w:r>
    </w:p>
    <w:p w:rsidR="00000000" w:rsidDel="00000000" w:rsidP="00000000" w:rsidRDefault="00000000" w:rsidRPr="00000000" w14:paraId="00000026">
      <w:pPr>
        <w:ind w:left="0" w:right="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-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basic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-компартмент, где протекает основная реакция;</w:t>
      </w:r>
    </w:p>
    <w:p w:rsidR="00000000" w:rsidDel="00000000" w:rsidP="00000000" w:rsidRDefault="00000000" w:rsidRPr="00000000" w14:paraId="00000027">
      <w:pPr>
        <w:ind w:left="0" w:right="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-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 subsequent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-компартмент, участвующий в неспецифическом связывании или перераспределение препарата. </w:t>
      </w:r>
    </w:p>
    <w:p w:rsidR="00000000" w:rsidDel="00000000" w:rsidP="00000000" w:rsidRDefault="00000000" w:rsidRPr="00000000" w14:paraId="00000028">
      <w:pPr>
        <w:ind w:left="0" w:right="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ind w:left="0" w:right="0" w:firstLine="0"/>
        <w:jc w:val="left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1359698</wp:posOffset>
            </wp:positionH>
            <wp:positionV relativeFrom="paragraph">
              <wp:posOffset>152400</wp:posOffset>
            </wp:positionV>
            <wp:extent cx="3402965" cy="2552065"/>
            <wp:effectExtent b="0" l="0" r="0" t="0"/>
            <wp:wrapTopAndBottom distB="0" distT="0"/>
            <wp:docPr id="15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402965" cy="255206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A">
      <w:pPr>
        <w:ind w:left="0" w:right="0" w:firstLine="0"/>
        <w:jc w:val="left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ind w:left="0" w:right="0" w:firstLine="0"/>
        <w:rPr>
          <w:rFonts w:ascii="Times New Roman" w:cs="Times New Roman" w:eastAsia="Times New Roman" w:hAnsi="Times New Roman"/>
          <w:b w:val="1"/>
          <w:sz w:val="36"/>
          <w:szCs w:val="36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36"/>
          <w:szCs w:val="36"/>
          <w:rtl w:val="0"/>
        </w:rPr>
        <w:t xml:space="preserve">Диаграмма модели.</w:t>
      </w:r>
    </w:p>
    <w:p w:rsidR="00000000" w:rsidDel="00000000" w:rsidP="00000000" w:rsidRDefault="00000000" w:rsidRPr="00000000" w14:paraId="0000002C">
      <w:pPr>
        <w:ind w:left="0" w:right="0" w:firstLine="0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ind w:left="0" w:right="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Для описании фармакокинетики 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subAN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 вводятся  данные: </w:t>
      </w:r>
    </w:p>
    <w:p w:rsidR="00000000" w:rsidDel="00000000" w:rsidP="00000000" w:rsidRDefault="00000000" w:rsidRPr="00000000" w14:paraId="0000002E">
      <w:pPr>
        <w:ind w:left="0" w:right="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1. по скорости появления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subAN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в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basic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-компартменте;</w:t>
      </w:r>
    </w:p>
    <w:p w:rsidR="00000000" w:rsidDel="00000000" w:rsidP="00000000" w:rsidRDefault="00000000" w:rsidRPr="00000000" w14:paraId="0000002F">
      <w:pPr>
        <w:ind w:left="0" w:right="0" w:firstLine="0"/>
        <w:rPr/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2. по элиминации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subAN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 путём прямого  удаления и связывания мишенями с их последующей деградацией.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ind w:left="0" w:right="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Фармакодинамика 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subAN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 описывается реакциями целевого синтеза, деградации и связывания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target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031">
      <w:pPr>
        <w:ind w:left="0" w:right="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ind w:left="0" w:right="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Особенности химических реакций (стехиометрические коэффициенты, скорости), концентрации субстратов и реагентов задаются через  вводимые зависимые и независимые параметры. </w:t>
      </w:r>
    </w:p>
    <w:p w:rsidR="00000000" w:rsidDel="00000000" w:rsidP="00000000" w:rsidRDefault="00000000" w:rsidRPr="00000000" w14:paraId="00000033">
      <w:pPr>
        <w:ind w:left="0" w:right="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ind w:left="0" w:right="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В настоящей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модели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скорости реакций описываются параметрами, вводимыми пользователем, в том числе:</w:t>
      </w:r>
    </w:p>
    <w:p w:rsidR="00000000" w:rsidDel="00000000" w:rsidP="00000000" w:rsidRDefault="00000000" w:rsidRPr="00000000" w14:paraId="00000035">
      <w:pPr>
        <w:ind w:left="0" w:right="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kel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для реакции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subAN-&gt;elim_subAN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;</w:t>
      </w:r>
    </w:p>
    <w:p w:rsidR="00000000" w:rsidDel="00000000" w:rsidP="00000000" w:rsidRDefault="00000000" w:rsidRPr="00000000" w14:paraId="00000036">
      <w:pPr>
        <w:ind w:left="0" w:right="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kint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для реакции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stBIN-&gt;deg_complex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;</w:t>
      </w:r>
    </w:p>
    <w:p w:rsidR="00000000" w:rsidDel="00000000" w:rsidP="00000000" w:rsidRDefault="00000000" w:rsidRPr="00000000" w14:paraId="00000037">
      <w:pPr>
        <w:ind w:left="0" w:right="0" w:firstLine="0"/>
        <w:rPr>
          <w:b w:val="0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ksyn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для реакции синтеза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target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ind w:left="0" w:right="0" w:firstLine="0"/>
        <w:rPr>
          <w:rFonts w:ascii="Times New Roman" w:cs="Times New Roman" w:eastAsia="Times New Roman" w:hAnsi="Times New Roman"/>
          <w:b w:val="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z w:val="24"/>
          <w:szCs w:val="24"/>
          <w:rtl w:val="0"/>
        </w:rPr>
        <w:t xml:space="preserve">kdeg </w:t>
      </w:r>
      <w:r w:rsidDel="00000000" w:rsidR="00000000" w:rsidRPr="00000000">
        <w:rPr>
          <w:rFonts w:ascii="Times New Roman" w:cs="Times New Roman" w:eastAsia="Times New Roman" w:hAnsi="Times New Roman"/>
          <w:b w:val="0"/>
          <w:sz w:val="24"/>
          <w:szCs w:val="24"/>
          <w:rtl w:val="0"/>
        </w:rPr>
        <w:t xml:space="preserve">для реакции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z w:val="24"/>
          <w:szCs w:val="24"/>
          <w:rtl w:val="0"/>
        </w:rPr>
        <w:t xml:space="preserve"> target-&gt;deg_targe</w:t>
      </w:r>
      <w:r w:rsidDel="00000000" w:rsidR="00000000" w:rsidRPr="00000000">
        <w:rPr>
          <w:rFonts w:ascii="Times New Roman" w:cs="Times New Roman" w:eastAsia="Times New Roman" w:hAnsi="Times New Roman"/>
          <w:b w:val="0"/>
          <w:sz w:val="24"/>
          <w:szCs w:val="24"/>
          <w:rtl w:val="0"/>
        </w:rPr>
        <w:t xml:space="preserve">t.</w:t>
      </w:r>
    </w:p>
    <w:p w:rsidR="00000000" w:rsidDel="00000000" w:rsidP="00000000" w:rsidRDefault="00000000" w:rsidRPr="00000000" w14:paraId="00000039">
      <w:pPr>
        <w:ind w:left="0" w:right="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ind w:left="0" w:right="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Рассмотрим, как работает модель. Для упрощения представления модели предположим, что основная реакция связывания действующего вещества с молекулами-мишенями происходит в плазме крови. </w:t>
      </w:r>
    </w:p>
    <w:p w:rsidR="00000000" w:rsidDel="00000000" w:rsidP="00000000" w:rsidRDefault="00000000" w:rsidRPr="00000000" w14:paraId="0000003B">
      <w:pPr>
        <w:ind w:left="0" w:right="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ind w:left="0" w:right="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Сформируем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входной сигнал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. Понятно, что скорость появления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subAN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 в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basic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-компартменте зависит от общей дозы препарата (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dose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) и способа введения. </w:t>
      </w:r>
    </w:p>
    <w:p w:rsidR="00000000" w:rsidDel="00000000" w:rsidP="00000000" w:rsidRDefault="00000000" w:rsidRPr="00000000" w14:paraId="0000003D">
      <w:pPr>
        <w:ind w:left="0" w:right="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Для внутривенного вливания устанавливаем время (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infusionT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). Тогда скорость появления препарата в плазме в течение периода инфузии будет составлять (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dose/infusionT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).</w:t>
      </w:r>
    </w:p>
    <w:p w:rsidR="00000000" w:rsidDel="00000000" w:rsidP="00000000" w:rsidRDefault="00000000" w:rsidRPr="00000000" w14:paraId="0000003E">
      <w:pPr>
        <w:ind w:left="0" w:right="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Поэтому формируем входной сигнал, определяя кусочную функцию, имеющую значения 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dose/infusionT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 до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 infusionT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 мин и 0 в противном случае.</w:t>
      </w:r>
    </w:p>
    <w:p w:rsidR="00000000" w:rsidDel="00000000" w:rsidP="00000000" w:rsidRDefault="00000000" w:rsidRPr="00000000" w14:paraId="0000003F">
      <w:pPr>
        <w:ind w:left="0" w:right="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Выберем конкретные данные и просимулируем модель.</w:t>
      </w:r>
    </w:p>
    <w:p w:rsidR="00000000" w:rsidDel="00000000" w:rsidP="00000000" w:rsidRDefault="00000000" w:rsidRPr="00000000" w14:paraId="00000040">
      <w:pPr>
        <w:ind w:left="0" w:right="0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ind w:left="0" w:right="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-5079</wp:posOffset>
            </wp:positionH>
            <wp:positionV relativeFrom="paragraph">
              <wp:posOffset>89535</wp:posOffset>
            </wp:positionV>
            <wp:extent cx="4149725" cy="443865"/>
            <wp:effectExtent b="0" l="0" r="0" t="0"/>
            <wp:wrapTopAndBottom distB="0" distT="0"/>
            <wp:docPr id="6" name="image17.png"/>
            <a:graphic>
              <a:graphicData uri="http://schemas.openxmlformats.org/drawingml/2006/picture">
                <pic:pic>
                  <pic:nvPicPr>
                    <pic:cNvPr id="0" name="image17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149725" cy="44386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41910</wp:posOffset>
            </wp:positionH>
            <wp:positionV relativeFrom="paragraph">
              <wp:posOffset>608965</wp:posOffset>
            </wp:positionV>
            <wp:extent cx="5668010" cy="330835"/>
            <wp:effectExtent b="0" l="0" r="0" t="0"/>
            <wp:wrapSquare wrapText="bothSides" distB="0" distT="0" distL="0" distR="0"/>
            <wp:docPr id="1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68010" cy="33083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42">
      <w:pPr>
        <w:ind w:left="0" w:right="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ind w:left="0" w:right="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ind w:left="0" w:right="0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ind w:left="0" w:right="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Рассмотрим динамику концентрации вещества и мишени в плазме.</w:t>
      </w:r>
    </w:p>
    <w:p w:rsidR="00000000" w:rsidDel="00000000" w:rsidP="00000000" w:rsidRDefault="00000000" w:rsidRPr="00000000" w14:paraId="00000046">
      <w:pPr>
        <w:ind w:left="0" w:right="0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ind w:left="0" w:right="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29210</wp:posOffset>
            </wp:positionH>
            <wp:positionV relativeFrom="paragraph">
              <wp:posOffset>46990</wp:posOffset>
            </wp:positionV>
            <wp:extent cx="4053205" cy="658495"/>
            <wp:effectExtent b="0" l="0" r="0" t="0"/>
            <wp:wrapTopAndBottom distB="0" distT="0"/>
            <wp:docPr id="3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053205" cy="65849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34925</wp:posOffset>
            </wp:positionH>
            <wp:positionV relativeFrom="paragraph">
              <wp:posOffset>823595</wp:posOffset>
            </wp:positionV>
            <wp:extent cx="2344420" cy="1596390"/>
            <wp:effectExtent b="0" l="0" r="0" t="0"/>
            <wp:wrapSquare wrapText="bothSides" distB="0" distT="0" distL="0" distR="0"/>
            <wp:docPr id="17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44420" cy="159639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2875915</wp:posOffset>
            </wp:positionH>
            <wp:positionV relativeFrom="paragraph">
              <wp:posOffset>794385</wp:posOffset>
            </wp:positionV>
            <wp:extent cx="2286635" cy="1570355"/>
            <wp:effectExtent b="0" l="0" r="0" t="0"/>
            <wp:wrapSquare wrapText="bothSides" distB="0" distT="0" distL="0" distR="0"/>
            <wp:docPr id="4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86635" cy="157035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48">
      <w:pPr>
        <w:ind w:left="0" w:right="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ind w:left="0" w:right="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ind w:left="0" w:right="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ind w:left="0" w:right="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ind w:left="0" w:right="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ind w:left="0" w:right="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ind w:left="0" w:right="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ind w:left="0" w:right="0" w:firstLine="0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ind w:left="0" w:right="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51">
      <w:pPr>
        <w:ind w:left="0" w:right="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ind w:left="0" w:right="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109854</wp:posOffset>
            </wp:positionH>
            <wp:positionV relativeFrom="paragraph">
              <wp:posOffset>66040</wp:posOffset>
            </wp:positionV>
            <wp:extent cx="6120130" cy="113665"/>
            <wp:effectExtent b="0" l="0" r="0" t="0"/>
            <wp:wrapTopAndBottom distB="0" distT="0"/>
            <wp:docPr id="18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1366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1304925</wp:posOffset>
            </wp:positionH>
            <wp:positionV relativeFrom="paragraph">
              <wp:posOffset>329565</wp:posOffset>
            </wp:positionV>
            <wp:extent cx="2302510" cy="1477010"/>
            <wp:effectExtent b="0" l="0" r="0" t="0"/>
            <wp:wrapTopAndBottom distB="0" distT="0"/>
            <wp:docPr id="19" name="image19.png"/>
            <a:graphic>
              <a:graphicData uri="http://schemas.openxmlformats.org/drawingml/2006/picture">
                <pic:pic>
                  <pic:nvPicPr>
                    <pic:cNvPr id="0" name="image19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02510" cy="147701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53">
      <w:pPr>
        <w:ind w:left="0" w:right="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ind w:left="0" w:right="0" w:firstLine="0"/>
        <w:rPr/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Из графиков видно, что концентрация вводимого препарата в плазме почти моментально достигает пика, затем снижается нелинейно в результате распределения и элиминации вещества. Концентрация свободных молекул-мишеней снижается, связываясь с веществом, а затем медленно возвращается к исходному уровню по мере уменьшения количества вещества.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ind w:left="0" w:right="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ind w:left="0" w:right="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Вычисление минимального биологического эффекта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. В качестве MБЭ возьмём 10%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ТО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. Тогда, определение рекомендованной начальной дозы состоит в поиске дозы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subAN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, которая даст 10%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ТО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. </w:t>
      </w:r>
    </w:p>
    <w:p w:rsidR="00000000" w:rsidDel="00000000" w:rsidP="00000000" w:rsidRDefault="00000000" w:rsidRPr="00000000" w14:paraId="00000057">
      <w:pPr>
        <w:ind w:left="0" w:right="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Оценим максимальную целевую загрузку в приведенном примере.</w:t>
      </w:r>
    </w:p>
    <w:p w:rsidR="00000000" w:rsidDel="00000000" w:rsidP="00000000" w:rsidRDefault="00000000" w:rsidRPr="00000000" w14:paraId="00000058">
      <w:pPr>
        <w:ind w:left="0" w:right="0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ind w:left="0" w:right="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151765</wp:posOffset>
            </wp:positionH>
            <wp:positionV relativeFrom="paragraph">
              <wp:posOffset>132715</wp:posOffset>
            </wp:positionV>
            <wp:extent cx="4934585" cy="634365"/>
            <wp:effectExtent b="0" l="0" r="0" t="0"/>
            <wp:wrapTopAndBottom distB="0" distT="0"/>
            <wp:docPr id="21" name="image20.png"/>
            <a:graphic>
              <a:graphicData uri="http://schemas.openxmlformats.org/drawingml/2006/picture">
                <pic:pic>
                  <pic:nvPicPr>
                    <pic:cNvPr id="0" name="image20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934585" cy="63436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5A">
      <w:pPr>
        <w:ind w:left="0" w:right="0" w:firstLine="0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168275</wp:posOffset>
            </wp:positionH>
            <wp:positionV relativeFrom="paragraph">
              <wp:posOffset>1698625</wp:posOffset>
            </wp:positionV>
            <wp:extent cx="4641850" cy="376555"/>
            <wp:effectExtent b="0" l="0" r="0" t="0"/>
            <wp:wrapTopAndBottom distB="0" distT="0"/>
            <wp:docPr id="11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641850" cy="37655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1414145</wp:posOffset>
            </wp:positionH>
            <wp:positionV relativeFrom="paragraph">
              <wp:posOffset>2198370</wp:posOffset>
            </wp:positionV>
            <wp:extent cx="1816100" cy="174625"/>
            <wp:effectExtent b="0" l="0" r="0" t="0"/>
            <wp:wrapTopAndBottom distB="0" distT="0"/>
            <wp:docPr id="9" name="image22.png"/>
            <a:graphic>
              <a:graphicData uri="http://schemas.openxmlformats.org/drawingml/2006/picture">
                <pic:pic>
                  <pic:nvPicPr>
                    <pic:cNvPr id="0" name="image22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16100" cy="1746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1256030</wp:posOffset>
            </wp:positionH>
            <wp:positionV relativeFrom="paragraph">
              <wp:posOffset>5715</wp:posOffset>
            </wp:positionV>
            <wp:extent cx="2199005" cy="1572260"/>
            <wp:effectExtent b="0" l="0" r="0" t="0"/>
            <wp:wrapTopAndBottom distB="0" distT="0"/>
            <wp:docPr id="12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99005" cy="157226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5B">
      <w:pPr>
        <w:ind w:left="0" w:right="0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ind w:left="0" w:right="0" w:firstLine="0"/>
        <w:rPr/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Максимальная целевая загрузка составляет почти 97%. Это намного выше заданных 10%, т.е. доза 20 мг слишком высока.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ind w:left="0" w:right="0" w:firstLine="0"/>
        <w:rPr>
          <w:b w:val="1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ind w:left="0" w:right="0" w:firstLine="0"/>
        <w:rPr/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Подбор доз.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Определим самую низкую концентрацию, при которой будет наблюдаться МБЭ, связанный с максимальной занятостью мишеней (с минимумом на графике). Для этого построим график зависимости максимальной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ТО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от применяемых доз от 0 до 100 мг.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ind w:left="0" w:right="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Поскольку максимальный эффект наблюдается в первые часы применения, симулируем модель в течение 6 часов.</w:t>
      </w:r>
    </w:p>
    <w:p w:rsidR="00000000" w:rsidDel="00000000" w:rsidP="00000000" w:rsidRDefault="00000000" w:rsidRPr="00000000" w14:paraId="00000060">
      <w:pPr>
        <w:ind w:left="0" w:right="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Создадим таблицу симуляций по каждой дозе.</w:t>
      </w:r>
    </w:p>
    <w:p w:rsidR="00000000" w:rsidDel="00000000" w:rsidP="00000000" w:rsidRDefault="00000000" w:rsidRPr="00000000" w14:paraId="00000061">
      <w:pPr>
        <w:ind w:left="0" w:right="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61595</wp:posOffset>
            </wp:positionH>
            <wp:positionV relativeFrom="paragraph">
              <wp:posOffset>191770</wp:posOffset>
            </wp:positionV>
            <wp:extent cx="6120130" cy="724535"/>
            <wp:effectExtent b="0" l="0" r="0" t="0"/>
            <wp:wrapTopAndBottom distB="0" distT="0"/>
            <wp:docPr id="20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72453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62">
      <w:pPr>
        <w:ind w:left="0" w:right="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ind w:left="0" w:right="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83820</wp:posOffset>
            </wp:positionH>
            <wp:positionV relativeFrom="paragraph">
              <wp:posOffset>90170</wp:posOffset>
            </wp:positionV>
            <wp:extent cx="6120130" cy="1829435"/>
            <wp:effectExtent b="0" l="0" r="0" t="0"/>
            <wp:wrapTopAndBottom distB="0" distT="0"/>
            <wp:docPr id="14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82943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64">
      <w:pPr>
        <w:ind w:left="0" w:right="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152400</wp:posOffset>
            </wp:positionH>
            <wp:positionV relativeFrom="paragraph">
              <wp:posOffset>86995</wp:posOffset>
            </wp:positionV>
            <wp:extent cx="6120130" cy="1075690"/>
            <wp:effectExtent b="0" l="0" r="0" t="0"/>
            <wp:wrapTopAndBottom distB="0" distT="0"/>
            <wp:docPr id="2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07569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2044700</wp:posOffset>
            </wp:positionH>
            <wp:positionV relativeFrom="paragraph">
              <wp:posOffset>1162050</wp:posOffset>
            </wp:positionV>
            <wp:extent cx="2350770" cy="1508760"/>
            <wp:effectExtent b="0" l="0" r="0" t="0"/>
            <wp:wrapTopAndBottom distB="0" distT="0"/>
            <wp:docPr id="7" name="image15.png"/>
            <a:graphic>
              <a:graphicData uri="http://schemas.openxmlformats.org/drawingml/2006/picture">
                <pic:pic>
                  <pic:nvPicPr>
                    <pic:cNvPr id="0" name="image15.pn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50770" cy="150876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65">
      <w:pPr>
        <w:ind w:left="0" w:right="0" w:firstLine="0"/>
        <w:rPr/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Строим график зависимости максимальных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 ТО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от изученных доз.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ind w:left="0" w:right="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ind w:left="0" w:right="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53975</wp:posOffset>
            </wp:positionH>
            <wp:positionV relativeFrom="paragraph">
              <wp:posOffset>48260</wp:posOffset>
            </wp:positionV>
            <wp:extent cx="6120130" cy="480695"/>
            <wp:effectExtent b="0" l="0" r="0" t="0"/>
            <wp:wrapTopAndBottom distB="0" distT="0"/>
            <wp:docPr id="24" name="image21.png"/>
            <a:graphic>
              <a:graphicData uri="http://schemas.openxmlformats.org/drawingml/2006/picture">
                <pic:pic>
                  <pic:nvPicPr>
                    <pic:cNvPr id="0" name="image21.png"/>
                    <pic:cNvPicPr preferRelativeResize="0"/>
                  </pic:nvPicPr>
                  <pic:blipFill>
                    <a:blip r:embed="rId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8069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68">
      <w:pPr>
        <w:ind w:left="0" w:right="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1352550</wp:posOffset>
            </wp:positionH>
            <wp:positionV relativeFrom="paragraph">
              <wp:posOffset>17145</wp:posOffset>
            </wp:positionV>
            <wp:extent cx="2633980" cy="1757680"/>
            <wp:effectExtent b="0" l="0" r="0" t="0"/>
            <wp:wrapTopAndBottom distB="0" distT="0"/>
            <wp:docPr id="8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2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33980" cy="175768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69">
      <w:pPr>
        <w:ind w:left="0" w:right="0" w:firstLine="0"/>
        <w:rPr>
          <w:rFonts w:ascii="Times New Roman" w:cs="Times New Roman" w:eastAsia="Times New Roman" w:hAnsi="Times New Roman"/>
          <w:b w:val="1"/>
          <w:i w:val="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Интерполируя данные, получаем минимальную дозу, максимальный ответ на которую соответствует 10 %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 TO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z w:val="24"/>
          <w:szCs w:val="24"/>
          <w:rtl w:val="0"/>
        </w:rPr>
        <w:t xml:space="preserve">: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z w:val="24"/>
          <w:szCs w:val="24"/>
          <w:rtl w:val="0"/>
        </w:rPr>
        <w:t xml:space="preserve">0.327698.</w:t>
      </w:r>
    </w:p>
    <w:p w:rsidR="00000000" w:rsidDel="00000000" w:rsidP="00000000" w:rsidRDefault="00000000" w:rsidRPr="00000000" w14:paraId="0000006A">
      <w:pPr>
        <w:ind w:left="0" w:right="0" w:firstLine="0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ind w:left="0" w:right="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659765</wp:posOffset>
            </wp:positionH>
            <wp:positionV relativeFrom="paragraph">
              <wp:posOffset>89535</wp:posOffset>
            </wp:positionV>
            <wp:extent cx="2522220" cy="309880"/>
            <wp:effectExtent b="0" l="0" r="0" t="0"/>
            <wp:wrapTopAndBottom distB="0" distT="0"/>
            <wp:docPr id="16" name="image18.png"/>
            <a:graphic>
              <a:graphicData uri="http://schemas.openxmlformats.org/drawingml/2006/picture">
                <pic:pic>
                  <pic:nvPicPr>
                    <pic:cNvPr id="0" name="image18.png"/>
                    <pic:cNvPicPr preferRelativeResize="0"/>
                  </pic:nvPicPr>
                  <pic:blipFill>
                    <a:blip r:embed="rId2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22220" cy="30988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6C">
      <w:pPr>
        <w:ind w:left="0" w:right="0" w:firstLine="0"/>
        <w:rPr/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Для понимания того, каким образом будет протекать реакция при других параметрах входного сигнала и самой модели, можно создать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интерактивную конструкцию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ind w:left="0" w:right="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ind w:left="0" w:right="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-59054</wp:posOffset>
            </wp:positionH>
            <wp:positionV relativeFrom="paragraph">
              <wp:posOffset>36830</wp:posOffset>
            </wp:positionV>
            <wp:extent cx="6250940" cy="1397635"/>
            <wp:effectExtent b="0" l="0" r="0" t="0"/>
            <wp:wrapTopAndBottom distB="0" distT="0"/>
            <wp:docPr id="13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2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250940" cy="139763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6F">
      <w:pPr>
        <w:ind w:left="0" w:right="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Она позволит оценить изменения выходных сигналов при варьировании параметров. </w:t>
      </w:r>
    </w:p>
    <w:p w:rsidR="00000000" w:rsidDel="00000000" w:rsidP="00000000" w:rsidRDefault="00000000" w:rsidRPr="00000000" w14:paraId="00000070">
      <w:pPr>
        <w:ind w:left="0" w:right="0" w:firstLine="0"/>
        <w:rPr/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Например, на первом рисунке показаны результаты для исходных данных, на втором:    результаты при изменении дозы до 4; на третьем - результаты при изменении параметров модели (объёма компартмента и концентрации молекул-мишени):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ind w:left="0" w:right="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62864</wp:posOffset>
            </wp:positionH>
            <wp:positionV relativeFrom="paragraph">
              <wp:posOffset>172085</wp:posOffset>
            </wp:positionV>
            <wp:extent cx="2545080" cy="2881630"/>
            <wp:effectExtent b="0" l="0" r="0" t="0"/>
            <wp:wrapSquare wrapText="bothSides" distB="0" distT="0" distL="0" distR="0"/>
            <wp:docPr id="5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2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45080" cy="288163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3501390</wp:posOffset>
            </wp:positionH>
            <wp:positionV relativeFrom="paragraph">
              <wp:posOffset>149860</wp:posOffset>
            </wp:positionV>
            <wp:extent cx="2506980" cy="2908935"/>
            <wp:effectExtent b="0" l="0" r="0" t="0"/>
            <wp:wrapSquare wrapText="bothSides" distB="0" distT="0" distL="0" distR="0"/>
            <wp:docPr id="10" name="image16.png"/>
            <a:graphic>
              <a:graphicData uri="http://schemas.openxmlformats.org/drawingml/2006/picture">
                <pic:pic>
                  <pic:nvPicPr>
                    <pic:cNvPr id="0" name="image16.png"/>
                    <pic:cNvPicPr preferRelativeResize="0"/>
                  </pic:nvPicPr>
                  <pic:blipFill>
                    <a:blip r:embed="rId2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06980" cy="290893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72">
      <w:pPr>
        <w:ind w:left="0" w:right="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ind w:left="0" w:right="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ind w:left="0" w:right="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ind w:left="0" w:right="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ind w:left="0" w:right="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ind w:left="0" w:right="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ind w:left="0" w:right="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ind w:left="0" w:right="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ind w:left="0" w:right="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ind w:left="0" w:right="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   </w:t>
      </w:r>
    </w:p>
    <w:p w:rsidR="00000000" w:rsidDel="00000000" w:rsidP="00000000" w:rsidRDefault="00000000" w:rsidRPr="00000000" w14:paraId="0000007C">
      <w:pPr>
        <w:ind w:left="0" w:right="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ind w:left="0" w:right="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ind w:left="0" w:right="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ind w:left="0" w:right="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ind w:left="0" w:right="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ind w:left="0" w:right="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ind w:left="0" w:right="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ind w:left="0" w:right="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176530</wp:posOffset>
            </wp:positionH>
            <wp:positionV relativeFrom="paragraph">
              <wp:posOffset>69215</wp:posOffset>
            </wp:positionV>
            <wp:extent cx="2853055" cy="3547110"/>
            <wp:effectExtent b="0" l="0" r="0" t="0"/>
            <wp:wrapSquare wrapText="bothSides" distB="0" distT="0" distL="0" distR="0"/>
            <wp:docPr id="22" name="image23.png"/>
            <a:graphic>
              <a:graphicData uri="http://schemas.openxmlformats.org/drawingml/2006/picture">
                <pic:pic>
                  <pic:nvPicPr>
                    <pic:cNvPr id="0" name="image23.png"/>
                    <pic:cNvPicPr preferRelativeResize="0"/>
                  </pic:nvPicPr>
                  <pic:blipFill>
                    <a:blip r:embed="rId3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53055" cy="354711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84">
      <w:pPr>
        <w:ind w:left="0" w:right="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ind w:left="0" w:right="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ind w:left="0" w:right="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ind w:left="0" w:right="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ind w:left="0" w:right="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ind w:left="0" w:right="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ind w:left="0" w:right="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ind w:left="0" w:right="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ind w:left="0" w:right="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ind w:left="0" w:right="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ind w:left="0" w:right="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ind w:left="0" w:right="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ind w:left="0" w:right="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ind w:left="0" w:right="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ind w:left="0" w:right="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ind w:left="0" w:right="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ind w:left="0" w:right="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5">
      <w:pPr>
        <w:ind w:left="0" w:right="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ind w:left="0" w:right="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7">
      <w:pPr>
        <w:ind w:left="0" w:right="0" w:firstLine="0"/>
        <w:rPr/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Подобная модель может быть достаточно просто адаптирована для различных биохимических процессов, протекающих в тканях и органах организма и формализована как инструментальное средство (модель).</w:t>
      </w:r>
      <w:r w:rsidDel="00000000" w:rsidR="00000000" w:rsidRPr="00000000">
        <w:rPr>
          <w:rtl w:val="0"/>
        </w:rPr>
      </w:r>
    </w:p>
    <w:sectPr>
      <w:pgSz w:h="16838" w:w="11906" w:orient="portrait"/>
      <w:pgMar w:bottom="1134" w:top="1134" w:left="1134" w:right="1134" w:header="0" w:foot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Times New Roman"/>
  <w:font w:name="Liberation Serif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Liberation Serif" w:cs="Liberation Serif" w:eastAsia="Liberation Serif" w:hAnsi="Liberation Serif"/>
        <w:color w:val="00000a"/>
        <w:sz w:val="24"/>
        <w:szCs w:val="24"/>
        <w:lang w:val="ru-RU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spacing w:after="120" w:before="200" w:lineRule="auto"/>
    </w:pPr>
    <w:rPr>
      <w:rFonts w:ascii="Liberation Serif" w:cs="Liberation Serif" w:eastAsia="Liberation Serif" w:hAnsi="Liberation Serif"/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11.png"/><Relationship Id="rId22" Type="http://schemas.openxmlformats.org/officeDocument/2006/relationships/image" Target="media/image6.png"/><Relationship Id="rId21" Type="http://schemas.openxmlformats.org/officeDocument/2006/relationships/image" Target="media/image10.png"/><Relationship Id="rId24" Type="http://schemas.openxmlformats.org/officeDocument/2006/relationships/image" Target="media/image21.png"/><Relationship Id="rId23" Type="http://schemas.openxmlformats.org/officeDocument/2006/relationships/image" Target="media/image15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7.png"/><Relationship Id="rId26" Type="http://schemas.openxmlformats.org/officeDocument/2006/relationships/image" Target="media/image18.png"/><Relationship Id="rId25" Type="http://schemas.openxmlformats.org/officeDocument/2006/relationships/image" Target="media/image4.png"/><Relationship Id="rId28" Type="http://schemas.openxmlformats.org/officeDocument/2006/relationships/image" Target="media/image2.png"/><Relationship Id="rId27" Type="http://schemas.openxmlformats.org/officeDocument/2006/relationships/image" Target="media/image12.png"/><Relationship Id="rId5" Type="http://schemas.openxmlformats.org/officeDocument/2006/relationships/styles" Target="styles.xml"/><Relationship Id="rId6" Type="http://schemas.openxmlformats.org/officeDocument/2006/relationships/image" Target="media/image24.png"/><Relationship Id="rId29" Type="http://schemas.openxmlformats.org/officeDocument/2006/relationships/image" Target="media/image16.png"/><Relationship Id="rId7" Type="http://schemas.openxmlformats.org/officeDocument/2006/relationships/hyperlink" Target="https://blog.wolfram.com/author/robert-palmer/" TargetMode="External"/><Relationship Id="rId8" Type="http://schemas.openxmlformats.org/officeDocument/2006/relationships/image" Target="media/image9.png"/><Relationship Id="rId30" Type="http://schemas.openxmlformats.org/officeDocument/2006/relationships/image" Target="media/image23.png"/><Relationship Id="rId11" Type="http://schemas.openxmlformats.org/officeDocument/2006/relationships/image" Target="media/image5.png"/><Relationship Id="rId10" Type="http://schemas.openxmlformats.org/officeDocument/2006/relationships/image" Target="media/image8.png"/><Relationship Id="rId13" Type="http://schemas.openxmlformats.org/officeDocument/2006/relationships/image" Target="media/image13.png"/><Relationship Id="rId12" Type="http://schemas.openxmlformats.org/officeDocument/2006/relationships/image" Target="media/image1.png"/><Relationship Id="rId15" Type="http://schemas.openxmlformats.org/officeDocument/2006/relationships/image" Target="media/image19.png"/><Relationship Id="rId14" Type="http://schemas.openxmlformats.org/officeDocument/2006/relationships/image" Target="media/image3.png"/><Relationship Id="rId17" Type="http://schemas.openxmlformats.org/officeDocument/2006/relationships/image" Target="media/image14.png"/><Relationship Id="rId16" Type="http://schemas.openxmlformats.org/officeDocument/2006/relationships/image" Target="media/image20.png"/><Relationship Id="rId19" Type="http://schemas.openxmlformats.org/officeDocument/2006/relationships/image" Target="media/image7.png"/><Relationship Id="rId18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